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1B" w:rsidRDefault="000D7C1B" w:rsidP="000D7C1B">
      <w:pPr>
        <w:autoSpaceDE w:val="0"/>
        <w:autoSpaceDN w:val="0"/>
        <w:adjustRightInd w:val="0"/>
        <w:spacing w:after="0" w:line="240" w:lineRule="auto"/>
        <w:rPr>
          <w:rFonts w:cs="Times-Roman"/>
          <w:b/>
          <w:sz w:val="24"/>
        </w:rPr>
      </w:pPr>
      <w:r>
        <w:rPr>
          <w:rFonts w:cs="Times-Roman"/>
          <w:b/>
          <w:sz w:val="24"/>
        </w:rPr>
        <w:t>AP Literature and Composition</w:t>
      </w:r>
    </w:p>
    <w:p w:rsidR="000D7C1B" w:rsidRDefault="000D7C1B" w:rsidP="000D7C1B">
      <w:pPr>
        <w:autoSpaceDE w:val="0"/>
        <w:autoSpaceDN w:val="0"/>
        <w:adjustRightInd w:val="0"/>
        <w:spacing w:after="0" w:line="240" w:lineRule="auto"/>
        <w:ind w:firstLine="720"/>
        <w:jc w:val="center"/>
        <w:rPr>
          <w:rFonts w:cs="Times-Roman"/>
          <w:b/>
          <w:sz w:val="24"/>
        </w:rPr>
      </w:pPr>
    </w:p>
    <w:p w:rsidR="000D7C1B" w:rsidRPr="000D7C1B" w:rsidRDefault="000D7C1B" w:rsidP="000D7C1B">
      <w:pPr>
        <w:autoSpaceDE w:val="0"/>
        <w:autoSpaceDN w:val="0"/>
        <w:adjustRightInd w:val="0"/>
        <w:spacing w:after="0" w:line="240" w:lineRule="auto"/>
        <w:ind w:firstLine="720"/>
        <w:jc w:val="center"/>
        <w:rPr>
          <w:rFonts w:cs="Times-Roman"/>
          <w:b/>
          <w:sz w:val="24"/>
        </w:rPr>
      </w:pPr>
      <w:r w:rsidRPr="000D7C1B">
        <w:rPr>
          <w:rFonts w:cs="Times-Roman"/>
          <w:b/>
          <w:sz w:val="24"/>
        </w:rPr>
        <w:t>Literary Theories</w:t>
      </w:r>
    </w:p>
    <w:p w:rsidR="000D7C1B" w:rsidRDefault="000D7C1B" w:rsidP="00E05F71">
      <w:pPr>
        <w:autoSpaceDE w:val="0"/>
        <w:autoSpaceDN w:val="0"/>
        <w:adjustRightInd w:val="0"/>
        <w:spacing w:after="0" w:line="240" w:lineRule="auto"/>
        <w:ind w:firstLine="720"/>
        <w:rPr>
          <w:rFonts w:cs="Times-Roman"/>
          <w:sz w:val="24"/>
        </w:rPr>
      </w:pPr>
    </w:p>
    <w:p w:rsidR="00E05F71" w:rsidRPr="000D7C1B" w:rsidRDefault="00E05F71" w:rsidP="00E05F71">
      <w:pPr>
        <w:autoSpaceDE w:val="0"/>
        <w:autoSpaceDN w:val="0"/>
        <w:adjustRightInd w:val="0"/>
        <w:spacing w:after="0" w:line="240" w:lineRule="auto"/>
        <w:ind w:firstLine="720"/>
        <w:rPr>
          <w:rFonts w:cs="Times-Roman"/>
          <w:sz w:val="24"/>
        </w:rPr>
      </w:pPr>
      <w:r w:rsidRPr="000D7C1B">
        <w:rPr>
          <w:rFonts w:cs="Times-Roman"/>
          <w:sz w:val="24"/>
        </w:rPr>
        <w:t xml:space="preserve">Literary theories were developed as a means to understand the various ways people read texts and to gain insight into the ways that author produced them. The proponents of each theory believe their theory is </w:t>
      </w:r>
      <w:r w:rsidRPr="000D7C1B">
        <w:rPr>
          <w:rFonts w:cs="Times-Italic"/>
          <w:i/>
          <w:iCs/>
          <w:sz w:val="24"/>
        </w:rPr>
        <w:t xml:space="preserve">THEE theory. </w:t>
      </w:r>
      <w:r w:rsidRPr="000D7C1B">
        <w:rPr>
          <w:rFonts w:cs="Times-Roman"/>
          <w:sz w:val="24"/>
        </w:rPr>
        <w:t>Nonetheless, in reality most of us interpret texts according to the “rules” of several different theories simultaneously. All literary theories are lenses through which we can see texts. There is nothing to say that one is better than another or that you should read according to any of them, but it is sometimes fun to “decide” to read a text with one in mind because you often end up with a whole new perspective on your reading.</w:t>
      </w:r>
    </w:p>
    <w:p w:rsidR="00E05F71" w:rsidRPr="000D7C1B" w:rsidRDefault="00E05F71" w:rsidP="00E05F71">
      <w:pPr>
        <w:autoSpaceDE w:val="0"/>
        <w:autoSpaceDN w:val="0"/>
        <w:adjustRightInd w:val="0"/>
        <w:spacing w:after="0" w:line="240" w:lineRule="auto"/>
        <w:rPr>
          <w:rFonts w:cs="Times-Roman"/>
          <w:sz w:val="24"/>
        </w:rPr>
      </w:pPr>
    </w:p>
    <w:p w:rsidR="00E05F71" w:rsidRPr="000D7C1B" w:rsidRDefault="00E05F71" w:rsidP="00E05F71">
      <w:pPr>
        <w:autoSpaceDE w:val="0"/>
        <w:autoSpaceDN w:val="0"/>
        <w:adjustRightInd w:val="0"/>
        <w:spacing w:after="0" w:line="240" w:lineRule="auto"/>
        <w:rPr>
          <w:rFonts w:cs="Times-Roman"/>
          <w:sz w:val="24"/>
        </w:rPr>
      </w:pPr>
      <w:r w:rsidRPr="000D7C1B">
        <w:rPr>
          <w:rFonts w:cs="Times-Roman"/>
          <w:sz w:val="24"/>
        </w:rPr>
        <w:t>The lenses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0"/>
        <w:gridCol w:w="4376"/>
      </w:tblGrid>
      <w:tr w:rsidR="00E05F71" w:rsidRPr="000D7C1B">
        <w:tc>
          <w:tcPr>
            <w:tcW w:w="4698" w:type="dxa"/>
          </w:tcPr>
          <w:p w:rsidR="00E05F71" w:rsidRPr="000D7C1B" w:rsidRDefault="00E05F71" w:rsidP="00E05F71">
            <w:pPr>
              <w:numPr>
                <w:ilvl w:val="0"/>
                <w:numId w:val="1"/>
              </w:numPr>
              <w:autoSpaceDE w:val="0"/>
              <w:autoSpaceDN w:val="0"/>
              <w:adjustRightInd w:val="0"/>
              <w:spacing w:after="0" w:line="240" w:lineRule="auto"/>
              <w:ind w:left="360"/>
              <w:rPr>
                <w:rFonts w:cs="Times-Roman"/>
                <w:sz w:val="24"/>
              </w:rPr>
            </w:pPr>
            <w:r w:rsidRPr="000D7C1B">
              <w:rPr>
                <w:rFonts w:cs="Times-Roman"/>
                <w:sz w:val="24"/>
              </w:rPr>
              <w:t>New Criticism - Formalist</w:t>
            </w:r>
          </w:p>
        </w:tc>
        <w:tc>
          <w:tcPr>
            <w:tcW w:w="4878" w:type="dxa"/>
          </w:tcPr>
          <w:p w:rsidR="00E05F71" w:rsidRPr="000D7C1B" w:rsidRDefault="00E05F71" w:rsidP="00E05F71">
            <w:pPr>
              <w:numPr>
                <w:ilvl w:val="0"/>
                <w:numId w:val="1"/>
              </w:numPr>
              <w:autoSpaceDE w:val="0"/>
              <w:autoSpaceDN w:val="0"/>
              <w:adjustRightInd w:val="0"/>
              <w:spacing w:after="0" w:line="240" w:lineRule="auto"/>
              <w:ind w:left="432"/>
              <w:rPr>
                <w:rFonts w:cs="Times-Roman"/>
                <w:sz w:val="24"/>
              </w:rPr>
            </w:pPr>
            <w:r w:rsidRPr="000D7C1B">
              <w:rPr>
                <w:rFonts w:cs="Times-Roman"/>
                <w:sz w:val="24"/>
              </w:rPr>
              <w:t>Mythological / Archetypal</w:t>
            </w:r>
          </w:p>
        </w:tc>
      </w:tr>
      <w:tr w:rsidR="00E05F71" w:rsidRPr="000D7C1B">
        <w:tc>
          <w:tcPr>
            <w:tcW w:w="4698" w:type="dxa"/>
          </w:tcPr>
          <w:p w:rsidR="00E05F71" w:rsidRPr="000D7C1B" w:rsidRDefault="00E05F71" w:rsidP="00E05F71">
            <w:pPr>
              <w:numPr>
                <w:ilvl w:val="0"/>
                <w:numId w:val="1"/>
              </w:numPr>
              <w:autoSpaceDE w:val="0"/>
              <w:autoSpaceDN w:val="0"/>
              <w:adjustRightInd w:val="0"/>
              <w:spacing w:after="0" w:line="240" w:lineRule="auto"/>
              <w:ind w:left="360"/>
              <w:rPr>
                <w:rFonts w:cs="Times-Roman"/>
                <w:sz w:val="24"/>
              </w:rPr>
            </w:pPr>
            <w:r w:rsidRPr="000D7C1B">
              <w:rPr>
                <w:rFonts w:cs="Times-Roman"/>
                <w:sz w:val="24"/>
              </w:rPr>
              <w:t>Psychoanalytical/Psychological</w:t>
            </w:r>
          </w:p>
        </w:tc>
        <w:tc>
          <w:tcPr>
            <w:tcW w:w="4878" w:type="dxa"/>
          </w:tcPr>
          <w:p w:rsidR="00E05F71" w:rsidRPr="000D7C1B" w:rsidRDefault="00E05F71" w:rsidP="00E05F71">
            <w:pPr>
              <w:numPr>
                <w:ilvl w:val="0"/>
                <w:numId w:val="1"/>
              </w:numPr>
              <w:autoSpaceDE w:val="0"/>
              <w:autoSpaceDN w:val="0"/>
              <w:adjustRightInd w:val="0"/>
              <w:spacing w:after="0" w:line="240" w:lineRule="auto"/>
              <w:ind w:left="432"/>
              <w:rPr>
                <w:rFonts w:cs="Times-Roman"/>
                <w:sz w:val="24"/>
              </w:rPr>
            </w:pPr>
            <w:r w:rsidRPr="000D7C1B">
              <w:rPr>
                <w:rFonts w:cs="Times-Roman"/>
                <w:sz w:val="24"/>
              </w:rPr>
              <w:t>Feminist/Gender</w:t>
            </w:r>
          </w:p>
        </w:tc>
      </w:tr>
      <w:tr w:rsidR="00E05F71" w:rsidRPr="000D7C1B">
        <w:tc>
          <w:tcPr>
            <w:tcW w:w="4698" w:type="dxa"/>
          </w:tcPr>
          <w:p w:rsidR="00E05F71" w:rsidRPr="000D7C1B" w:rsidRDefault="00E05F71" w:rsidP="00E05F71">
            <w:pPr>
              <w:numPr>
                <w:ilvl w:val="0"/>
                <w:numId w:val="1"/>
              </w:numPr>
              <w:autoSpaceDE w:val="0"/>
              <w:autoSpaceDN w:val="0"/>
              <w:adjustRightInd w:val="0"/>
              <w:spacing w:after="0" w:line="240" w:lineRule="auto"/>
              <w:ind w:left="360"/>
              <w:rPr>
                <w:rFonts w:cs="Times-Roman"/>
                <w:sz w:val="24"/>
              </w:rPr>
            </w:pPr>
            <w:r w:rsidRPr="000D7C1B">
              <w:rPr>
                <w:rFonts w:cs="Times-Roman"/>
                <w:sz w:val="24"/>
              </w:rPr>
              <w:t>Marxist</w:t>
            </w:r>
          </w:p>
        </w:tc>
        <w:tc>
          <w:tcPr>
            <w:tcW w:w="4878" w:type="dxa"/>
          </w:tcPr>
          <w:p w:rsidR="00E05F71" w:rsidRPr="000D7C1B" w:rsidRDefault="00E05F71" w:rsidP="00E05F71">
            <w:pPr>
              <w:numPr>
                <w:ilvl w:val="0"/>
                <w:numId w:val="1"/>
              </w:numPr>
              <w:autoSpaceDE w:val="0"/>
              <w:autoSpaceDN w:val="0"/>
              <w:adjustRightInd w:val="0"/>
              <w:spacing w:after="0" w:line="240" w:lineRule="auto"/>
              <w:ind w:left="432"/>
              <w:rPr>
                <w:rFonts w:cs="Times-Roman"/>
                <w:sz w:val="24"/>
              </w:rPr>
            </w:pPr>
            <w:r w:rsidRPr="000D7C1B">
              <w:rPr>
                <w:rFonts w:cs="Times-Roman"/>
                <w:sz w:val="24"/>
              </w:rPr>
              <w:t>New Historical</w:t>
            </w:r>
          </w:p>
        </w:tc>
      </w:tr>
      <w:tr w:rsidR="00E05F71" w:rsidRPr="000D7C1B">
        <w:tc>
          <w:tcPr>
            <w:tcW w:w="4698" w:type="dxa"/>
          </w:tcPr>
          <w:p w:rsidR="00E05F71" w:rsidRPr="000D7C1B" w:rsidRDefault="00E05F71" w:rsidP="00E05F71">
            <w:pPr>
              <w:numPr>
                <w:ilvl w:val="0"/>
                <w:numId w:val="1"/>
              </w:numPr>
              <w:autoSpaceDE w:val="0"/>
              <w:autoSpaceDN w:val="0"/>
              <w:adjustRightInd w:val="0"/>
              <w:spacing w:after="0" w:line="240" w:lineRule="auto"/>
              <w:ind w:left="360"/>
              <w:rPr>
                <w:rFonts w:cs="Times-Roman"/>
                <w:sz w:val="24"/>
              </w:rPr>
            </w:pPr>
            <w:r w:rsidRPr="000D7C1B">
              <w:rPr>
                <w:rFonts w:cs="Times-Roman"/>
                <w:sz w:val="24"/>
              </w:rPr>
              <w:t>Cultural/Postcolonial</w:t>
            </w:r>
          </w:p>
        </w:tc>
        <w:tc>
          <w:tcPr>
            <w:tcW w:w="4878" w:type="dxa"/>
          </w:tcPr>
          <w:p w:rsidR="00E05F71" w:rsidRPr="000D7C1B" w:rsidRDefault="00E05F71" w:rsidP="00E05F71">
            <w:pPr>
              <w:numPr>
                <w:ilvl w:val="0"/>
                <w:numId w:val="1"/>
              </w:numPr>
              <w:autoSpaceDE w:val="0"/>
              <w:autoSpaceDN w:val="0"/>
              <w:adjustRightInd w:val="0"/>
              <w:spacing w:after="0" w:line="240" w:lineRule="auto"/>
              <w:ind w:left="432"/>
              <w:rPr>
                <w:rFonts w:cs="Times-Roman"/>
                <w:sz w:val="24"/>
              </w:rPr>
            </w:pPr>
            <w:r w:rsidRPr="000D7C1B">
              <w:rPr>
                <w:rFonts w:cs="Times-Roman"/>
                <w:sz w:val="24"/>
              </w:rPr>
              <w:t xml:space="preserve">Structuralism &amp; </w:t>
            </w:r>
            <w:proofErr w:type="spellStart"/>
            <w:r w:rsidRPr="000D7C1B">
              <w:rPr>
                <w:rFonts w:cs="Times-Roman"/>
                <w:sz w:val="24"/>
              </w:rPr>
              <w:t>Syntagmatic</w:t>
            </w:r>
            <w:proofErr w:type="spellEnd"/>
            <w:r w:rsidRPr="000D7C1B">
              <w:rPr>
                <w:rFonts w:cs="Times-Roman"/>
                <w:sz w:val="24"/>
              </w:rPr>
              <w:t xml:space="preserve"> Paradigmatic</w:t>
            </w:r>
          </w:p>
        </w:tc>
      </w:tr>
      <w:tr w:rsidR="00E05F71" w:rsidRPr="000D7C1B">
        <w:tc>
          <w:tcPr>
            <w:tcW w:w="4698" w:type="dxa"/>
          </w:tcPr>
          <w:p w:rsidR="00E05F71" w:rsidRPr="000D7C1B" w:rsidRDefault="00E05F71" w:rsidP="00E05F71">
            <w:pPr>
              <w:numPr>
                <w:ilvl w:val="0"/>
                <w:numId w:val="1"/>
              </w:numPr>
              <w:autoSpaceDE w:val="0"/>
              <w:autoSpaceDN w:val="0"/>
              <w:adjustRightInd w:val="0"/>
              <w:spacing w:after="0" w:line="240" w:lineRule="auto"/>
              <w:ind w:left="360"/>
              <w:rPr>
                <w:rFonts w:cs="Times-Roman"/>
                <w:sz w:val="24"/>
              </w:rPr>
            </w:pPr>
            <w:r w:rsidRPr="000D7C1B">
              <w:rPr>
                <w:rFonts w:cs="Times-Roman"/>
                <w:sz w:val="24"/>
              </w:rPr>
              <w:t>Deconstruction/Myths &amp; Demystification</w:t>
            </w:r>
          </w:p>
        </w:tc>
        <w:tc>
          <w:tcPr>
            <w:tcW w:w="4878" w:type="dxa"/>
          </w:tcPr>
          <w:p w:rsidR="00E05F71" w:rsidRPr="000D7C1B" w:rsidRDefault="00E05F71" w:rsidP="00E05F71">
            <w:pPr>
              <w:numPr>
                <w:ilvl w:val="0"/>
                <w:numId w:val="1"/>
              </w:numPr>
              <w:autoSpaceDE w:val="0"/>
              <w:autoSpaceDN w:val="0"/>
              <w:adjustRightInd w:val="0"/>
              <w:spacing w:after="0" w:line="240" w:lineRule="auto"/>
              <w:ind w:left="432"/>
              <w:rPr>
                <w:rFonts w:cs="Times-Roman"/>
                <w:sz w:val="24"/>
              </w:rPr>
            </w:pPr>
            <w:proofErr w:type="spellStart"/>
            <w:r w:rsidRPr="000D7C1B">
              <w:rPr>
                <w:rFonts w:cs="Times-Roman"/>
                <w:sz w:val="24"/>
              </w:rPr>
              <w:t>Vico’s</w:t>
            </w:r>
            <w:proofErr w:type="spellEnd"/>
            <w:r w:rsidRPr="000D7C1B">
              <w:rPr>
                <w:rFonts w:cs="Times-Roman"/>
                <w:sz w:val="24"/>
              </w:rPr>
              <w:t xml:space="preserve"> 4 Stages of Mental Life</w:t>
            </w:r>
          </w:p>
        </w:tc>
      </w:tr>
    </w:tbl>
    <w:p w:rsidR="00E05F71" w:rsidRPr="000D7C1B" w:rsidRDefault="00E05F71">
      <w:pPr>
        <w:rPr>
          <w:sz w:val="24"/>
        </w:rPr>
      </w:pPr>
    </w:p>
    <w:p w:rsidR="00E05F71" w:rsidRPr="000D7C1B" w:rsidRDefault="00E05F71">
      <w:pPr>
        <w:rPr>
          <w:sz w:val="24"/>
        </w:rPr>
      </w:pPr>
      <w:r w:rsidRPr="000D7C1B">
        <w:rPr>
          <w:sz w:val="24"/>
        </w:rPr>
        <w:t xml:space="preserve">Work with a partner to define the lenses listed above. </w:t>
      </w:r>
      <w:r w:rsidR="000D7C1B" w:rsidRPr="000D7C1B">
        <w:rPr>
          <w:sz w:val="24"/>
        </w:rPr>
        <w:t xml:space="preserve">Split the list, define, and then teach the terms to each other go gain a full set of notes. </w:t>
      </w:r>
    </w:p>
    <w:sectPr w:rsidR="00E05F71" w:rsidRPr="000D7C1B" w:rsidSect="00E05F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0755"/>
    <w:multiLevelType w:val="hybridMultilevel"/>
    <w:tmpl w:val="FD7C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5F71"/>
    <w:rsid w:val="000D7C1B"/>
    <w:rsid w:val="00E05F71"/>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71"/>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Central York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Anderson</dc:creator>
  <cp:keywords/>
  <cp:lastModifiedBy>Katie Anderson</cp:lastModifiedBy>
  <cp:revision>1</cp:revision>
  <dcterms:created xsi:type="dcterms:W3CDTF">2013-03-04T01:42:00Z</dcterms:created>
  <dcterms:modified xsi:type="dcterms:W3CDTF">2013-03-04T02:03:00Z</dcterms:modified>
</cp:coreProperties>
</file>